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6"/>
      </w:tblGrid>
      <w:tr w:rsidR="00A62862">
        <w:trPr>
          <w:trHeight w:val="750"/>
          <w:tblHeader/>
        </w:trPr>
        <w:tc>
          <w:tcPr>
            <w:tcW w:w="10205" w:type="dxa"/>
            <w:vAlign w:val="center"/>
          </w:tcPr>
          <w:p w:rsidR="00A62862" w:rsidRDefault="003500E8">
            <w:pPr>
              <w:pStyle w:val="TableContents"/>
            </w:pPr>
            <w:r>
              <w:t xml:space="preserve"> </w:t>
            </w:r>
          </w:p>
        </w:tc>
      </w:tr>
    </w:tbl>
    <w:p w:rsidR="00A62862" w:rsidRPr="003500E8" w:rsidRDefault="003500E8">
      <w:pPr>
        <w:pStyle w:val="3"/>
        <w:rPr>
          <w:lang w:val="ru-RU"/>
        </w:rPr>
      </w:pPr>
      <w:bookmarkStart w:id="0" w:name="_GoBack"/>
      <w:bookmarkEnd w:id="0"/>
      <w:r w:rsidRPr="003500E8">
        <w:rPr>
          <w:lang w:val="ru-RU"/>
        </w:rPr>
        <w:t>Ставки экспортной таможенной пошлины на некоторые товары изменят в Казахстане</w:t>
      </w:r>
    </w:p>
    <w:p w:rsidR="00A62862" w:rsidRPr="003500E8" w:rsidRDefault="00A62862" w:rsidP="003500E8">
      <w:pPr>
        <w:pStyle w:val="a0"/>
        <w:rPr>
          <w:lang w:val="ru-RU"/>
        </w:rPr>
      </w:pPr>
    </w:p>
    <w:tbl>
      <w:tblPr>
        <w:tblW w:w="11095" w:type="dxa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046"/>
        <w:gridCol w:w="2977"/>
        <w:gridCol w:w="1418"/>
        <w:gridCol w:w="1843"/>
        <w:gridCol w:w="3260"/>
      </w:tblGrid>
      <w:tr w:rsidR="00A62862" w:rsidTr="003500E8"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№п/п 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</w:p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ТН ВЭД ЕАЭС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t>Наиме</w:t>
            </w:r>
            <w:proofErr w:type="spellEnd"/>
            <w:r>
              <w:t xml:space="preserve"> </w:t>
            </w:r>
          </w:p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t>нова</w:t>
            </w:r>
            <w:proofErr w:type="spellEnd"/>
            <w:r>
              <w:t xml:space="preserve"> </w:t>
            </w:r>
          </w:p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rPr>
                <w:position w:val="8"/>
                <w:sz w:val="19"/>
              </w:rPr>
              <w:t>1</w:t>
            </w: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Ставка таможенной пошлины в отношении товаров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таможен</w:t>
            </w:r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пошлины</w:t>
            </w:r>
            <w:proofErr w:type="spellEnd"/>
            <w:r>
              <w:t xml:space="preserve"> </w:t>
            </w:r>
          </w:p>
        </w:tc>
      </w:tr>
      <w:tr w:rsidR="00A62862" w:rsidRPr="003500E8" w:rsidTr="003500E8"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вывозимых за </w:t>
            </w:r>
            <w:proofErr w:type="spellStart"/>
            <w:r w:rsidRPr="003500E8">
              <w:rPr>
                <w:lang w:val="ru-RU"/>
              </w:rPr>
              <w:t>преде</w:t>
            </w:r>
            <w:proofErr w:type="spellEnd"/>
            <w:r w:rsidRPr="003500E8">
              <w:rPr>
                <w:lang w:val="ru-RU"/>
              </w:rPr>
              <w:t xml:space="preserve"> </w:t>
            </w:r>
          </w:p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 w:rsidRPr="003500E8">
              <w:rPr>
                <w:lang w:val="ru-RU"/>
              </w:rPr>
              <w:t>лы</w:t>
            </w:r>
            <w:proofErr w:type="spellEnd"/>
            <w:r w:rsidRPr="003500E8">
              <w:rPr>
                <w:lang w:val="ru-RU"/>
              </w:rPr>
              <w:t xml:space="preserve"> Республики Казахстан</w:t>
            </w:r>
            <w:proofErr w:type="gramStart"/>
            <w:r w:rsidRPr="003500E8">
              <w:rPr>
                <w:position w:val="8"/>
                <w:sz w:val="19"/>
                <w:lang w:val="ru-RU"/>
              </w:rPr>
              <w:t>2</w:t>
            </w:r>
            <w:proofErr w:type="gramEnd"/>
            <w:r w:rsidRPr="003500E8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gramStart"/>
            <w:r w:rsidRPr="003500E8">
              <w:rPr>
                <w:lang w:val="ru-RU"/>
              </w:rPr>
              <w:t>вывозимых</w:t>
            </w:r>
            <w:proofErr w:type="gramEnd"/>
            <w:r w:rsidRPr="003500E8">
              <w:rPr>
                <w:lang w:val="ru-RU"/>
              </w:rPr>
              <w:t xml:space="preserve"> в страны – участницы ДЗСТ</w:t>
            </w:r>
            <w:r w:rsidRPr="003500E8">
              <w:rPr>
                <w:position w:val="8"/>
                <w:sz w:val="19"/>
                <w:lang w:val="ru-RU"/>
              </w:rPr>
              <w:t>3</w:t>
            </w:r>
            <w:r w:rsidRPr="003500E8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A62862" w:rsidRPr="003500E8" w:rsidRDefault="00A62862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</w:tr>
      <w:tr w:rsidR="00A62862" w:rsidTr="003500E8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1 </w:t>
            </w:r>
          </w:p>
        </w:tc>
        <w:tc>
          <w:tcPr>
            <w:tcW w:w="10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5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6 </w:t>
            </w:r>
          </w:p>
        </w:tc>
      </w:tr>
      <w:tr w:rsidR="00A62862" w:rsidTr="003500E8"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2 </w:t>
            </w:r>
          </w:p>
        </w:tc>
        <w:tc>
          <w:tcPr>
            <w:tcW w:w="1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4101 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</w:t>
            </w:r>
            <w:r w:rsidRPr="003500E8">
              <w:rPr>
                <w:lang w:val="ru-RU"/>
              </w:rPr>
              <w:t xml:space="preserve">сушеные, золеные, </w:t>
            </w:r>
            <w:proofErr w:type="spellStart"/>
            <w:r w:rsidRPr="003500E8">
              <w:rPr>
                <w:lang w:val="ru-RU"/>
              </w:rPr>
              <w:t>пикелеванные</w:t>
            </w:r>
            <w:proofErr w:type="spellEnd"/>
            <w:r w:rsidRPr="003500E8">
              <w:rPr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</w:t>
            </w:r>
            <w:r w:rsidRPr="003500E8">
              <w:rPr>
                <w:lang w:val="ru-RU"/>
              </w:rPr>
              <w:br/>
              <w:t xml:space="preserve">с волосяным покровом или без волосяного покрова, двоенные или </w:t>
            </w:r>
            <w:proofErr w:type="spellStart"/>
            <w:r w:rsidRPr="003500E8">
              <w:rPr>
                <w:lang w:val="ru-RU"/>
              </w:rPr>
              <w:t>недвоенные</w:t>
            </w:r>
            <w:proofErr w:type="spellEnd"/>
            <w:r w:rsidRPr="003500E8">
              <w:rPr>
                <w:lang w:val="ru-RU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 xml:space="preserve">100 </w:t>
            </w:r>
            <w:proofErr w:type="spellStart"/>
            <w:r>
              <w:rPr>
                <w:b/>
              </w:rPr>
              <w:t>евро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тонну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декабря</w:t>
            </w:r>
            <w:proofErr w:type="spellEnd"/>
            <w:r>
              <w:rPr>
                <w:b/>
              </w:rPr>
              <w:t xml:space="preserve"> 2023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включительно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200 </w:t>
            </w:r>
            <w:proofErr w:type="spellStart"/>
            <w:r>
              <w:t>евро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тонну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 xml:space="preserve">с 1 </w:t>
            </w:r>
            <w:proofErr w:type="spellStart"/>
            <w:r>
              <w:rPr>
                <w:b/>
              </w:rPr>
              <w:t>января</w:t>
            </w:r>
            <w:proofErr w:type="spellEnd"/>
            <w:r>
              <w:rPr>
                <w:b/>
              </w:rPr>
              <w:t xml:space="preserve"> 2024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3 </w:t>
            </w:r>
          </w:p>
        </w:tc>
        <w:tc>
          <w:tcPr>
            <w:tcW w:w="1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4102 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 w:rsidRPr="003500E8">
              <w:rPr>
                <w:lang w:val="ru-RU"/>
              </w:rPr>
              <w:t>пикелеванные</w:t>
            </w:r>
            <w:proofErr w:type="spellEnd"/>
            <w:r w:rsidRPr="003500E8">
              <w:rPr>
                <w:lang w:val="ru-RU"/>
              </w:rPr>
              <w:t xml:space="preserve"> или консервированные другим способом, но не дубленые, не выделанные под</w:t>
            </w:r>
            <w:r w:rsidRPr="003500E8">
              <w:rPr>
                <w:lang w:val="ru-RU"/>
              </w:rPr>
              <w:t xml:space="preserve"> пергамент или не подвергнутые дальнейшей обработке),</w:t>
            </w:r>
            <w:r w:rsidRPr="003500E8">
              <w:rPr>
                <w:lang w:val="ru-RU"/>
              </w:rPr>
              <w:br/>
              <w:t xml:space="preserve">с шерстным покровом или без шерстного покрова, двоенные или </w:t>
            </w:r>
            <w:proofErr w:type="spellStart"/>
            <w:r w:rsidRPr="003500E8">
              <w:rPr>
                <w:lang w:val="ru-RU"/>
              </w:rPr>
              <w:t>недвоенные</w:t>
            </w:r>
            <w:proofErr w:type="spellEnd"/>
            <w:r w:rsidRPr="003500E8">
              <w:rPr>
                <w:lang w:val="ru-RU"/>
              </w:rPr>
              <w:t xml:space="preserve">, </w:t>
            </w:r>
            <w:proofErr w:type="gramStart"/>
            <w:r w:rsidRPr="003500E8">
              <w:rPr>
                <w:lang w:val="ru-RU"/>
              </w:rPr>
              <w:t>кроме</w:t>
            </w:r>
            <w:proofErr w:type="gramEnd"/>
            <w:r w:rsidRPr="003500E8">
              <w:rPr>
                <w:lang w:val="ru-RU"/>
              </w:rPr>
              <w:t xml:space="preserve"> исключенных примечанием 1 (в) к данной группе 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>0</w:t>
            </w:r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31 </w:t>
            </w:r>
            <w:proofErr w:type="spellStart"/>
            <w:r>
              <w:rPr>
                <w:b/>
              </w:rPr>
              <w:t>декабря</w:t>
            </w:r>
            <w:proofErr w:type="spellEnd"/>
            <w:r>
              <w:rPr>
                <w:b/>
              </w:rPr>
              <w:t xml:space="preserve"> 2023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включительно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200 </w:t>
            </w:r>
            <w:proofErr w:type="spellStart"/>
            <w:r>
              <w:t>евро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тонну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 xml:space="preserve">с 1 </w:t>
            </w:r>
            <w:proofErr w:type="spellStart"/>
            <w:r>
              <w:rPr>
                <w:b/>
              </w:rPr>
              <w:t>января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2024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4 </w:t>
            </w:r>
          </w:p>
        </w:tc>
        <w:tc>
          <w:tcPr>
            <w:tcW w:w="1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4103 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Прочие необработанные шкуры (парные или соленые, сушеные, золеные, </w:t>
            </w:r>
            <w:proofErr w:type="spellStart"/>
            <w:r w:rsidRPr="003500E8">
              <w:rPr>
                <w:lang w:val="ru-RU"/>
              </w:rPr>
              <w:lastRenderedPageBreak/>
              <w:t>пикелеванные</w:t>
            </w:r>
            <w:proofErr w:type="spellEnd"/>
            <w:r w:rsidRPr="003500E8">
              <w:rPr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</w:t>
            </w:r>
            <w:r w:rsidRPr="003500E8">
              <w:rPr>
                <w:lang w:val="ru-RU"/>
              </w:rPr>
              <w:t xml:space="preserve">оенные или </w:t>
            </w:r>
            <w:proofErr w:type="spellStart"/>
            <w:r w:rsidRPr="003500E8">
              <w:rPr>
                <w:lang w:val="ru-RU"/>
              </w:rPr>
              <w:t>недвоенные</w:t>
            </w:r>
            <w:proofErr w:type="spellEnd"/>
            <w:r w:rsidRPr="003500E8">
              <w:rPr>
                <w:lang w:val="ru-RU"/>
              </w:rPr>
              <w:t xml:space="preserve">, кроме </w:t>
            </w:r>
            <w:proofErr w:type="gramStart"/>
            <w:r w:rsidRPr="003500E8">
              <w:rPr>
                <w:lang w:val="ru-RU"/>
              </w:rPr>
              <w:t>исключенных</w:t>
            </w:r>
            <w:proofErr w:type="gramEnd"/>
            <w:r w:rsidRPr="003500E8">
              <w:rPr>
                <w:lang w:val="ru-RU"/>
              </w:rPr>
              <w:t xml:space="preserve"> примечанием 1 (б) или 1 (в) к данной группе 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lastRenderedPageBreak/>
              <w:t>0</w:t>
            </w:r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31 </w:t>
            </w:r>
            <w:proofErr w:type="spellStart"/>
            <w:r>
              <w:rPr>
                <w:b/>
              </w:rPr>
              <w:t>декабря</w:t>
            </w:r>
            <w:proofErr w:type="spellEnd"/>
            <w:r>
              <w:rPr>
                <w:b/>
              </w:rPr>
              <w:t xml:space="preserve"> 2023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включительно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200 </w:t>
            </w:r>
            <w:proofErr w:type="spellStart"/>
            <w:r>
              <w:t>евро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тонну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 xml:space="preserve">с 1 </w:t>
            </w:r>
            <w:proofErr w:type="spellStart"/>
            <w:r>
              <w:rPr>
                <w:b/>
              </w:rPr>
              <w:t>января</w:t>
            </w:r>
            <w:proofErr w:type="spellEnd"/>
            <w:r>
              <w:rPr>
                <w:b/>
              </w:rPr>
              <w:t xml:space="preserve"> 2024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5101 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Шерсть, не подвергнутая </w:t>
            </w:r>
            <w:proofErr w:type="spellStart"/>
            <w:r w:rsidRPr="003500E8">
              <w:rPr>
                <w:lang w:val="ru-RU"/>
              </w:rPr>
              <w:t>кард</w:t>
            </w:r>
            <w:proofErr w:type="gramStart"/>
            <w:r w:rsidRPr="003500E8">
              <w:rPr>
                <w:lang w:val="ru-RU"/>
              </w:rPr>
              <w:t>о</w:t>
            </w:r>
            <w:proofErr w:type="spellEnd"/>
            <w:r w:rsidRPr="003500E8">
              <w:rPr>
                <w:lang w:val="ru-RU"/>
              </w:rPr>
              <w:t>-</w:t>
            </w:r>
            <w:proofErr w:type="gramEnd"/>
            <w:r w:rsidRPr="003500E8">
              <w:rPr>
                <w:lang w:val="ru-RU"/>
              </w:rPr>
              <w:t xml:space="preserve"> или гребнечесанию 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0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31 </w:t>
            </w:r>
            <w:proofErr w:type="spellStart"/>
            <w:r>
              <w:rPr>
                <w:b/>
              </w:rPr>
              <w:t>декабря</w:t>
            </w:r>
            <w:proofErr w:type="spellEnd"/>
            <w:r>
              <w:rPr>
                <w:b/>
              </w:rPr>
              <w:t xml:space="preserve"> 2024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включительно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10 %, но не менее 50 евро за 1 тонну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 xml:space="preserve">с 1 </w:t>
            </w:r>
            <w:proofErr w:type="spellStart"/>
            <w:r>
              <w:rPr>
                <w:b/>
              </w:rPr>
              <w:t>января</w:t>
            </w:r>
            <w:proofErr w:type="spellEnd"/>
            <w:r>
              <w:rPr>
                <w:b/>
              </w:rPr>
              <w:t xml:space="preserve"> 2025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6 </w:t>
            </w:r>
          </w:p>
        </w:tc>
        <w:tc>
          <w:tcPr>
            <w:tcW w:w="1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5102 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Волос животных, тонкий или грубый, не подвергнутый </w:t>
            </w:r>
            <w:proofErr w:type="spellStart"/>
            <w:r w:rsidRPr="003500E8">
              <w:rPr>
                <w:lang w:val="ru-RU"/>
              </w:rPr>
              <w:t>кард</w:t>
            </w:r>
            <w:proofErr w:type="gramStart"/>
            <w:r w:rsidRPr="003500E8">
              <w:rPr>
                <w:lang w:val="ru-RU"/>
              </w:rPr>
              <w:t>о</w:t>
            </w:r>
            <w:proofErr w:type="spellEnd"/>
            <w:r w:rsidRPr="003500E8">
              <w:rPr>
                <w:lang w:val="ru-RU"/>
              </w:rPr>
              <w:t>-</w:t>
            </w:r>
            <w:proofErr w:type="gramEnd"/>
            <w:r w:rsidRPr="003500E8">
              <w:rPr>
                <w:lang w:val="ru-RU"/>
              </w:rPr>
              <w:t xml:space="preserve"> или гребнечесанию 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0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31 </w:t>
            </w:r>
            <w:proofErr w:type="spellStart"/>
            <w:r>
              <w:rPr>
                <w:b/>
              </w:rPr>
              <w:t>декабря</w:t>
            </w:r>
            <w:proofErr w:type="spellEnd"/>
            <w:r>
              <w:rPr>
                <w:b/>
              </w:rPr>
              <w:t xml:space="preserve"> 2024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включительно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10 %, но не менее 50 евро за 1 тонну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>с 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января</w:t>
            </w:r>
            <w:proofErr w:type="spellEnd"/>
            <w:r>
              <w:rPr>
                <w:b/>
              </w:rPr>
              <w:t xml:space="preserve"> 2025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7 </w:t>
            </w:r>
          </w:p>
        </w:tc>
        <w:tc>
          <w:tcPr>
            <w:tcW w:w="1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5103 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Отходы шерсти или тонкого или грубого волоса животных, включая прядильные отходы, но исключая расщипанное сырье 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0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31 </w:t>
            </w:r>
            <w:proofErr w:type="spellStart"/>
            <w:r>
              <w:rPr>
                <w:b/>
              </w:rPr>
              <w:t>декабря</w:t>
            </w:r>
            <w:proofErr w:type="spellEnd"/>
            <w:r>
              <w:rPr>
                <w:b/>
              </w:rPr>
              <w:t xml:space="preserve"> 2024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включительно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10 %, но не менее 50 евро за 1 тонну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 xml:space="preserve">с 1 </w:t>
            </w:r>
            <w:proofErr w:type="spellStart"/>
            <w:r>
              <w:rPr>
                <w:b/>
              </w:rPr>
              <w:t>января</w:t>
            </w:r>
            <w:proofErr w:type="spellEnd"/>
            <w:r>
              <w:rPr>
                <w:b/>
              </w:rPr>
              <w:t xml:space="preserve"> 2025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8 </w:t>
            </w:r>
          </w:p>
        </w:tc>
        <w:tc>
          <w:tcPr>
            <w:tcW w:w="1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5104 00 000 0 </w:t>
            </w:r>
          </w:p>
        </w:tc>
        <w:tc>
          <w:tcPr>
            <w:tcW w:w="29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Расщипанное сырье из шерсти или тонкого или грубого волоса животных </w:t>
            </w: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t xml:space="preserve">0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31 </w:t>
            </w:r>
            <w:proofErr w:type="spellStart"/>
            <w:r>
              <w:rPr>
                <w:b/>
              </w:rPr>
              <w:t>декабря</w:t>
            </w:r>
            <w:proofErr w:type="spellEnd"/>
            <w:r>
              <w:rPr>
                <w:b/>
              </w:rPr>
              <w:t xml:space="preserve"> 2024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включительно</w:t>
            </w:r>
            <w:proofErr w:type="spellEnd"/>
            <w:r>
              <w:t xml:space="preserve"> </w:t>
            </w:r>
          </w:p>
        </w:tc>
      </w:tr>
      <w:tr w:rsidR="00A62862" w:rsidTr="003500E8">
        <w:tc>
          <w:tcPr>
            <w:tcW w:w="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A6286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Pr="003500E8" w:rsidRDefault="003500E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3500E8">
              <w:rPr>
                <w:lang w:val="ru-RU"/>
              </w:rPr>
              <w:t xml:space="preserve">10 %, но не менее 50 евро за 1 тонну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A62862" w:rsidRDefault="003500E8">
            <w:pPr>
              <w:pStyle w:val="TableContents"/>
              <w:spacing w:after="283"/>
              <w:jc w:val="center"/>
            </w:pPr>
            <w:r>
              <w:rPr>
                <w:b/>
              </w:rPr>
              <w:t xml:space="preserve">с 1 </w:t>
            </w:r>
            <w:proofErr w:type="spellStart"/>
            <w:r>
              <w:rPr>
                <w:b/>
              </w:rPr>
              <w:t>января</w:t>
            </w:r>
            <w:proofErr w:type="spellEnd"/>
            <w:r>
              <w:rPr>
                <w:b/>
              </w:rPr>
              <w:t xml:space="preserve"> 2025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t xml:space="preserve"> </w:t>
            </w:r>
          </w:p>
        </w:tc>
      </w:tr>
    </w:tbl>
    <w:p w:rsidR="00A62862" w:rsidRDefault="00A62862">
      <w:pPr>
        <w:pStyle w:val="a0"/>
      </w:pPr>
    </w:p>
    <w:sectPr w:rsidR="00A62862" w:rsidSect="003500E8">
      <w:pgSz w:w="11906" w:h="16838" w:code="9"/>
      <w:pgMar w:top="170" w:right="170" w:bottom="170" w:left="17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436"/>
    <w:multiLevelType w:val="multilevel"/>
    <w:tmpl w:val="B90A5D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9027D"/>
    <w:multiLevelType w:val="multilevel"/>
    <w:tmpl w:val="5DA87A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A62862"/>
    <w:rsid w:val="003500E8"/>
    <w:rsid w:val="00A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00E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3500E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00E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3500E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</cp:revision>
  <dcterms:created xsi:type="dcterms:W3CDTF">2023-03-14T05:10:00Z</dcterms:created>
  <dcterms:modified xsi:type="dcterms:W3CDTF">2023-03-14T05:12:00Z</dcterms:modified>
  <dc:language>en-US</dc:language>
</cp:coreProperties>
</file>